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FAQ`s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zu IPS+</w:t>
      </w:r>
    </w:p>
    <w:p/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Hier sind die </w:t>
      </w:r>
      <w:proofErr w:type="spellStart"/>
      <w:r>
        <w:rPr>
          <w:rFonts w:ascii="Arial" w:hAnsi="Arial" w:cs="Arial"/>
          <w:b/>
          <w:sz w:val="24"/>
          <w:szCs w:val="24"/>
        </w:rPr>
        <w:t>SkFobi</w:t>
      </w:r>
      <w:proofErr w:type="spellEnd"/>
      <w:r>
        <w:rPr>
          <w:rFonts w:ascii="Arial" w:hAnsi="Arial" w:cs="Arial"/>
          <w:b/>
          <w:sz w:val="24"/>
          <w:szCs w:val="24"/>
        </w:rPr>
        <w:t>-Fragen zum IPS+ und die Antworten: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Sind die Anbaupausen 4 Jahre bei A-Bohnen und 5 Jahre bei Erbsen auch bei Untersaat einzuhalten?</w:t>
      </w:r>
    </w:p>
    <w:p>
      <w:pPr>
        <w:pStyle w:val="Listenabsatz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die Fruchtfolgeproblematik mit der Selbstunverträglichkeit (</w:t>
      </w:r>
      <w:proofErr w:type="spellStart"/>
      <w:r>
        <w:rPr>
          <w:rFonts w:ascii="Arial" w:hAnsi="Arial" w:cs="Arial"/>
          <w:sz w:val="24"/>
          <w:szCs w:val="24"/>
        </w:rPr>
        <w:t>Fusarium</w:t>
      </w:r>
      <w:proofErr w:type="spellEnd"/>
      <w:r>
        <w:rPr>
          <w:rFonts w:ascii="Arial" w:hAnsi="Arial" w:cs="Arial"/>
          <w:sz w:val="24"/>
          <w:szCs w:val="24"/>
        </w:rPr>
        <w:t xml:space="preserve">-Auflaufkrankheiten, </w:t>
      </w:r>
      <w:proofErr w:type="spellStart"/>
      <w:r>
        <w:rPr>
          <w:rFonts w:ascii="Arial" w:hAnsi="Arial" w:cs="Arial"/>
          <w:sz w:val="24"/>
          <w:szCs w:val="24"/>
        </w:rPr>
        <w:t>Leguminosenmüdigkeit</w:t>
      </w:r>
      <w:proofErr w:type="spellEnd"/>
      <w:r>
        <w:rPr>
          <w:rFonts w:ascii="Arial" w:hAnsi="Arial" w:cs="Arial"/>
          <w:sz w:val="24"/>
          <w:szCs w:val="24"/>
        </w:rPr>
        <w:t>) bleibt ja weiterhin bestehen.</w:t>
      </w:r>
    </w:p>
    <w:p>
      <w:pPr>
        <w:pStyle w:val="Listenabsatz"/>
        <w:ind w:left="0"/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Geht die Fruchtfolge WW SM WW Di SM</w:t>
      </w:r>
    </w:p>
    <w:p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67 % Wintergetreide sind eingehalten. 67 % SM und die Fruchtfolgeauflage kein Winterweizen nach Winterweizen ebenso. Somit ist die Fruchtfolge zulässig.</w:t>
      </w:r>
    </w:p>
    <w:p>
      <w:pPr>
        <w:pStyle w:val="Listenabsatz"/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Wenn biologische Maßnahmen einen Wirkungsgrad von 45 % haben und chemische von 95 %, muss ich dann trotzdem die biologische bevorzugen?</w:t>
      </w:r>
    </w:p>
    <w:p>
      <w:pPr>
        <w:pStyle w:val="Listenabsatz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Nein, der Einsatz von Pflanzenschutzmittel ist nach wie vor zulässig.     </w:t>
      </w:r>
    </w:p>
    <w:p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C0E"/>
    <w:multiLevelType w:val="hybridMultilevel"/>
    <w:tmpl w:val="AE86E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C584-E290-4046-8195-4ECBE24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Heidenheim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Skrypski, Alexander</dc:creator>
  <cp:keywords/>
  <dc:description/>
  <cp:lastModifiedBy>Skrypski, Alexander</cp:lastModifiedBy>
  <cp:revision>2</cp:revision>
  <dcterms:created xsi:type="dcterms:W3CDTF">2021-12-14T12:25:00Z</dcterms:created>
  <dcterms:modified xsi:type="dcterms:W3CDTF">2022-01-19T12:31:00Z</dcterms:modified>
</cp:coreProperties>
</file>